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763" w:rsidP="7AF31A43" w:rsidRDefault="435E0A4A" w14:paraId="276F5F03" w14:textId="66CDAEE0">
      <w:pPr>
        <w:jc w:val="center"/>
        <w:rPr>
          <w:b w:val="1"/>
          <w:bCs w:val="1"/>
          <w:sz w:val="36"/>
          <w:szCs w:val="36"/>
        </w:rPr>
      </w:pPr>
      <w:r w:rsidRPr="7339507D" w:rsidR="435E0A4A">
        <w:rPr>
          <w:b w:val="1"/>
          <w:bCs w:val="1"/>
          <w:sz w:val="36"/>
          <w:szCs w:val="36"/>
        </w:rPr>
        <w:t>¿</w:t>
      </w:r>
      <w:r w:rsidRPr="7339507D" w:rsidR="5E1ADC6B">
        <w:rPr>
          <w:b w:val="1"/>
          <w:bCs w:val="1"/>
          <w:sz w:val="36"/>
          <w:szCs w:val="36"/>
        </w:rPr>
        <w:t xml:space="preserve">La </w:t>
      </w:r>
      <w:r w:rsidRPr="7339507D" w:rsidR="0289C892">
        <w:rPr>
          <w:b w:val="1"/>
          <w:bCs w:val="1"/>
          <w:sz w:val="36"/>
          <w:szCs w:val="36"/>
        </w:rPr>
        <w:t>e</w:t>
      </w:r>
      <w:r w:rsidRPr="7339507D" w:rsidR="5E1ADC6B">
        <w:rPr>
          <w:b w:val="1"/>
          <w:bCs w:val="1"/>
          <w:sz w:val="36"/>
          <w:szCs w:val="36"/>
        </w:rPr>
        <w:t>ra de</w:t>
      </w:r>
      <w:r w:rsidRPr="7339507D" w:rsidR="435E0A4A">
        <w:rPr>
          <w:b w:val="1"/>
          <w:bCs w:val="1"/>
          <w:sz w:val="36"/>
          <w:szCs w:val="36"/>
        </w:rPr>
        <w:t xml:space="preserve"> las "</w:t>
      </w:r>
      <w:r w:rsidRPr="7339507D" w:rsidR="435E0A4A">
        <w:rPr>
          <w:b w:val="1"/>
          <w:bCs w:val="1"/>
          <w:sz w:val="36"/>
          <w:szCs w:val="36"/>
        </w:rPr>
        <w:t>Nenis</w:t>
      </w:r>
      <w:r w:rsidRPr="7339507D" w:rsidR="435E0A4A">
        <w:rPr>
          <w:b w:val="1"/>
          <w:bCs w:val="1"/>
          <w:sz w:val="36"/>
          <w:szCs w:val="36"/>
        </w:rPr>
        <w:t>"</w:t>
      </w:r>
      <w:r w:rsidRPr="7339507D" w:rsidR="44618D97">
        <w:rPr>
          <w:b w:val="1"/>
          <w:bCs w:val="1"/>
          <w:sz w:val="36"/>
          <w:szCs w:val="36"/>
        </w:rPr>
        <w:t xml:space="preserve"> llegó a su fin</w:t>
      </w:r>
      <w:r w:rsidRPr="7339507D" w:rsidR="435E0A4A">
        <w:rPr>
          <w:b w:val="1"/>
          <w:bCs w:val="1"/>
          <w:sz w:val="36"/>
          <w:szCs w:val="36"/>
        </w:rPr>
        <w:t xml:space="preserve">? </w:t>
      </w:r>
      <w:r w:rsidRPr="7339507D" w:rsidR="435E0A4A">
        <w:rPr>
          <w:b w:val="1"/>
          <w:bCs w:val="1"/>
          <w:sz w:val="36"/>
          <w:szCs w:val="36"/>
        </w:rPr>
        <w:t>Este será el resultado del arancel a productos chinos</w:t>
      </w:r>
    </w:p>
    <w:p w:rsidR="00932763" w:rsidP="0FFC5C3F" w:rsidRDefault="435E0A4A" w14:paraId="1B88BD87" w14:textId="700777A8">
      <w:pPr>
        <w:jc w:val="both"/>
      </w:pPr>
      <w:r w:rsidR="435E0A4A">
        <w:rPr/>
        <w:t>C</w:t>
      </w:r>
      <w:r w:rsidR="42ACFB67">
        <w:rPr/>
        <w:t>iudad de México,</w:t>
      </w:r>
      <w:r w:rsidR="435E0A4A">
        <w:rPr/>
        <w:t xml:space="preserve"> </w:t>
      </w:r>
      <w:r w:rsidR="35D94EF8">
        <w:rPr/>
        <w:t xml:space="preserve">13 </w:t>
      </w:r>
      <w:r w:rsidR="435E0A4A">
        <w:rPr/>
        <w:t xml:space="preserve">de enero de 2025.- El inicio del año se vio marcado por un cambio significativo en la dinámica del comercio electrónico y las importaciones provenientes de Asia en México. A partir del 1 de enero, el </w:t>
      </w:r>
      <w:hyperlink r:id="Rd1f475222bba4cba">
        <w:r w:rsidRPr="7339507D" w:rsidR="435E0A4A">
          <w:rPr>
            <w:rStyle w:val="Hipervnculo"/>
          </w:rPr>
          <w:t>Servicio de Administración Tributaria (SAT)</w:t>
        </w:r>
      </w:hyperlink>
      <w:r w:rsidR="435E0A4A">
        <w:rPr/>
        <w:t xml:space="preserve"> implementó un aumento del 19% en los impuestos para productos importados desde países sin un tratado comercial, como China y otras naciones asiáticas.</w:t>
      </w:r>
    </w:p>
    <w:p w:rsidR="00932763" w:rsidP="0FFC5C3F" w:rsidRDefault="435E0A4A" w14:paraId="0E0A8CA1" w14:textId="3FDE3709">
      <w:pPr>
        <w:jc w:val="both"/>
      </w:pPr>
      <w:r w:rsidR="435E0A4A">
        <w:rPr/>
        <w:t>Además, los productos textiles enfrentarán un arancel adicional del 35%, con el objetivo de proteger a la industria local. Este movimiento podría transformar profundamente el panorama del comercio electrónico y el mercado minorista mexicano.</w:t>
      </w:r>
    </w:p>
    <w:p w:rsidR="00932763" w:rsidP="0FFC5C3F" w:rsidRDefault="435E0A4A" w14:paraId="5425A371" w14:textId="5083D922">
      <w:pPr>
        <w:jc w:val="both"/>
      </w:pPr>
      <w:r w:rsidR="435E0A4A">
        <w:rPr/>
        <w:t xml:space="preserve">De acuerdo con Mail Boxes </w:t>
      </w:r>
      <w:r w:rsidR="435E0A4A">
        <w:rPr/>
        <w:t>Etc</w:t>
      </w:r>
      <w:r w:rsidR="435E0A4A">
        <w:rPr/>
        <w:t xml:space="preserve">, entre los más afectados se encuentran </w:t>
      </w:r>
      <w:r w:rsidR="435E0A4A">
        <w:rPr/>
        <w:t>marketplaces</w:t>
      </w:r>
      <w:r w:rsidR="435E0A4A">
        <w:rPr/>
        <w:t xml:space="preserve"> como </w:t>
      </w:r>
      <w:r w:rsidR="435E0A4A">
        <w:rPr/>
        <w:t>Shein</w:t>
      </w:r>
      <w:r w:rsidR="435E0A4A">
        <w:rPr/>
        <w:t xml:space="preserve"> y Temu, plataformas digitales que han ganado popularidad por sus precios sumamente accesibles y la oportunidad de emprendimiento para muchos usuarios, gracias a la reventa de sus mercancías. Por su parte, otros </w:t>
      </w:r>
      <w:r w:rsidR="435E0A4A">
        <w:rPr/>
        <w:t>marketplaces</w:t>
      </w:r>
      <w:r w:rsidR="435E0A4A">
        <w:rPr/>
        <w:t xml:space="preserve"> que operan bajo el Tratado entre México, Estados Unidos y Canadá (T-MEC) podrían beneficiarse de menores impuestos, que oscilan en un 17% para productos con un valor entre 50 y 117 dólares.</w:t>
      </w:r>
    </w:p>
    <w:p w:rsidR="00932763" w:rsidP="7AF31A43" w:rsidRDefault="435E0A4A" w14:paraId="6A98190D" w14:textId="390F25A5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7AF31A43">
        <w:rPr>
          <w:sz w:val="28"/>
          <w:szCs w:val="28"/>
        </w:rPr>
        <w:t>¿Qué significa para el usuario?</w:t>
      </w:r>
    </w:p>
    <w:p w:rsidR="00932763" w:rsidP="0FFC5C3F" w:rsidRDefault="435E0A4A" w14:paraId="34B6BDBE" w14:textId="37726D8B">
      <w:pPr>
        <w:jc w:val="both"/>
      </w:pPr>
      <w:r>
        <w:t>El impacto directo de estas medidas recaerá tanto en los consumidores como en los emprendedores, incluidos las denominadas "</w:t>
      </w:r>
      <w:proofErr w:type="spellStart"/>
      <w:r>
        <w:t>Nenis</w:t>
      </w:r>
      <w:proofErr w:type="spellEnd"/>
      <w:r>
        <w:t>", quienes comercializan productos de moda y otros bienes a través de redes sociales y plataformas digitales. Para los consumidores, el peor escenario posible implica un incremento considerable en los precios de los productos importados.</w:t>
      </w:r>
    </w:p>
    <w:p w:rsidR="00932763" w:rsidP="0FFC5C3F" w:rsidRDefault="435E0A4A" w14:paraId="03A00D42" w14:textId="1585978B">
      <w:pPr>
        <w:jc w:val="both"/>
      </w:pPr>
      <w:r>
        <w:t xml:space="preserve">Por ejemplo, un artículo textil que antes costaba </w:t>
      </w:r>
      <w:r w:rsidR="1E25FD6A">
        <w:t>$</w:t>
      </w:r>
      <w:r>
        <w:t>100 pesos, ahora costará:</w:t>
      </w:r>
    </w:p>
    <w:p w:rsidR="00932763" w:rsidP="64CD26F4" w:rsidRDefault="3BFC3947" w14:paraId="1754F76B" w14:textId="72F4CE47">
      <w:pPr>
        <w:pStyle w:val="Prrafodelista"/>
        <w:numPr>
          <w:ilvl w:val="0"/>
          <w:numId w:val="1"/>
        </w:numPr>
        <w:jc w:val="both"/>
      </w:pPr>
      <w:r>
        <w:t xml:space="preserve">$ </w:t>
      </w:r>
      <w:r w:rsidR="435E0A4A">
        <w:t>35 pesos más por el arancel adicional del 35%.</w:t>
      </w:r>
    </w:p>
    <w:p w:rsidR="00932763" w:rsidP="64CD26F4" w:rsidRDefault="1921A865" w14:paraId="10361CC9" w14:textId="4D5038F3">
      <w:pPr>
        <w:pStyle w:val="Prrafodelista"/>
        <w:numPr>
          <w:ilvl w:val="0"/>
          <w:numId w:val="1"/>
        </w:numPr>
        <w:jc w:val="both"/>
      </w:pPr>
      <w:r>
        <w:t xml:space="preserve">$ </w:t>
      </w:r>
      <w:r w:rsidR="435E0A4A">
        <w:t>19 pesos más por el impuesto del 19% en comercio exterior.</w:t>
      </w:r>
    </w:p>
    <w:p w:rsidR="00932763" w:rsidP="64CD26F4" w:rsidRDefault="3F67E974" w14:paraId="051D47C5" w14:textId="4B8D370E">
      <w:pPr>
        <w:pStyle w:val="Prrafodelista"/>
        <w:numPr>
          <w:ilvl w:val="0"/>
          <w:numId w:val="1"/>
        </w:numPr>
        <w:jc w:val="both"/>
      </w:pPr>
      <w:r>
        <w:t xml:space="preserve">$ </w:t>
      </w:r>
      <w:r w:rsidR="435E0A4A">
        <w:t>24.64 pesos más por el IVA del 16% aplicado al nuevo costo.</w:t>
      </w:r>
    </w:p>
    <w:p w:rsidR="00932763" w:rsidP="0FFC5C3F" w:rsidRDefault="435E0A4A" w14:paraId="4AE2DC67" w14:textId="4863C820">
      <w:pPr>
        <w:jc w:val="both"/>
      </w:pPr>
      <w:r>
        <w:t xml:space="preserve">En total, ese producto que antes costaba </w:t>
      </w:r>
      <w:r w:rsidR="3EC641CC">
        <w:t>$</w:t>
      </w:r>
      <w:bookmarkStart w:name="_Int_tBm5jlcA" w:id="0"/>
      <w:proofErr w:type="gramStart"/>
      <w:r>
        <w:t xml:space="preserve">100 pesos </w:t>
      </w:r>
      <w:r w:rsidR="1563F550">
        <w:t>costará</w:t>
      </w:r>
      <w:bookmarkEnd w:id="0"/>
      <w:proofErr w:type="gramEnd"/>
      <w:r>
        <w:t xml:space="preserve"> los </w:t>
      </w:r>
      <w:r w:rsidR="7736609B">
        <w:t>$</w:t>
      </w:r>
      <w:r>
        <w:t xml:space="preserve">178.64 pesos. Este aumento podría desalentar a los compradores de plataformas como </w:t>
      </w:r>
      <w:proofErr w:type="spellStart"/>
      <w:r>
        <w:t>Shein</w:t>
      </w:r>
      <w:proofErr w:type="spellEnd"/>
      <w:r>
        <w:t xml:space="preserve"> o Temu, que habían ganado terreno gracias a sus precios bajos. Además, las "</w:t>
      </w:r>
      <w:proofErr w:type="spellStart"/>
      <w:r>
        <w:t>Nenis</w:t>
      </w:r>
      <w:proofErr w:type="spellEnd"/>
      <w:r>
        <w:t xml:space="preserve">", que dependen de estos proveedores para surtir sus catálogos, podrían enfrentar una disminución en </w:t>
      </w:r>
      <w:r w:rsidR="62A5E06A">
        <w:t>la demanda de sus productos</w:t>
      </w:r>
      <w:r>
        <w:t>.</w:t>
      </w:r>
    </w:p>
    <w:p w:rsidR="00932763" w:rsidP="0FFC5C3F" w:rsidRDefault="435E0A4A" w14:paraId="1A31306C" w14:textId="2B880208">
      <w:pPr>
        <w:jc w:val="both"/>
      </w:pPr>
      <w:r>
        <w:t xml:space="preserve">Por otro lado, esto podría generar una migración de la preferencia de compra hacia los productos locales. En sectores como el textil, esta regulación podría nivelar el terreno de </w:t>
      </w:r>
      <w:r>
        <w:lastRenderedPageBreak/>
        <w:t>juego, beneficiando a los productores mexicanos. Además, fomenta la adquisición de bienes hechos en México, fortaleciendo la economía nacional y promoviendo la sustentabilidad al reducir la dependencia de importaciones.</w:t>
      </w:r>
    </w:p>
    <w:p w:rsidR="00932763" w:rsidP="0FFC5C3F" w:rsidRDefault="435E0A4A" w14:paraId="75D51B79" w14:textId="39E0395F">
      <w:pPr>
        <w:jc w:val="both"/>
      </w:pPr>
      <w:r w:rsidR="435E0A4A">
        <w:rPr/>
        <w:t>Es importante destacar que los nuevos impuestos podrían aumentar los</w:t>
      </w:r>
      <w:r w:rsidR="47C02890">
        <w:rPr/>
        <w:t xml:space="preserve"> costos</w:t>
      </w:r>
      <w:r w:rsidR="435E0A4A">
        <w:rPr/>
        <w:t xml:space="preserve"> </w:t>
      </w:r>
      <w:r w:rsidR="26005F37">
        <w:rPr/>
        <w:t>de adquisición de los artículos, lo que puede tener e</w:t>
      </w:r>
      <w:r w:rsidR="57C0B4AA">
        <w:rPr/>
        <w:t>fec</w:t>
      </w:r>
      <w:r w:rsidR="26005F37">
        <w:rPr/>
        <w:t>tos colaterales en la dinámica logística</w:t>
      </w:r>
      <w:r w:rsidR="435E0A4A">
        <w:rPr/>
        <w:t xml:space="preserve">. </w:t>
      </w:r>
      <w:r w:rsidR="435E0A4A">
        <w:rPr/>
        <w:t>Las empresas de</w:t>
      </w:r>
      <w:r w:rsidR="5E561B60">
        <w:rPr/>
        <w:t>l sector</w:t>
      </w:r>
      <w:r w:rsidR="435E0A4A">
        <w:rPr/>
        <w:t xml:space="preserve"> también deberán adaptarse a estos cambios para cumplir con las regulaciones contemplando que la demanda de inmediatez por parte del cliente no va a disminuir.</w:t>
      </w:r>
    </w:p>
    <w:p w:rsidR="64CD26F4" w:rsidP="64CD26F4" w:rsidRDefault="64CD26F4" w14:paraId="7559070B" w14:textId="24C4523C">
      <w:pPr>
        <w:jc w:val="both"/>
      </w:pPr>
      <w:r w:rsidR="435E0A4A">
        <w:rPr/>
        <w:t>El arancel a productos asiáticos de bajo costo marca el inicio de una nueva era para el comercio electrónico y la economía mexicana. Si bien podría significar un aumento en los precios para los consumidores y un reto para emprendedores, también abre la puerta a un fortalecimiento del mercado local y una regulación más justa.</w:t>
      </w:r>
    </w:p>
    <w:p w:rsidR="64CD26F4" w:rsidP="64CD26F4" w:rsidRDefault="64CD26F4" w14:paraId="7F9B0F31" w14:textId="2F06A2A5">
      <w:pPr>
        <w:jc w:val="both"/>
      </w:pPr>
      <w:r w:rsidR="20ACCA77">
        <w:rPr/>
        <w:t xml:space="preserve">Ante </w:t>
      </w:r>
      <w:r w:rsidR="435E0A4A">
        <w:rPr/>
        <w:t>este escenario, los jugadores del comercio electrónico, así como los consumidores, tendrán que adaptarse a una nueva realidad, en la que la colaboración entre sectores podría ser clave para mitigar los efectos negativos y maximizar los beneficios potenciales.</w:t>
      </w:r>
    </w:p>
    <w:p w:rsidR="61D7A3DF" w:rsidP="64CD26F4" w:rsidRDefault="61D7A3DF" w14:paraId="4C598F4D" w14:textId="53FD365C">
      <w:pPr>
        <w:spacing w:line="259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 w:rsidRPr="64CD26F4">
        <w:rPr>
          <w:rFonts w:ascii="Arial" w:hAnsi="Arial" w:eastAsia="Arial" w:cs="Arial"/>
          <w:color w:val="000000" w:themeColor="text1"/>
          <w:sz w:val="22"/>
          <w:szCs w:val="22"/>
        </w:rPr>
        <w:t>-o0o-</w:t>
      </w:r>
    </w:p>
    <w:p w:rsidR="61D7A3DF" w:rsidP="64CD26F4" w:rsidRDefault="61D7A3DF" w14:paraId="66B8B7F9" w14:textId="645A8B4A">
      <w:pPr>
        <w:spacing w:after="0" w:line="259" w:lineRule="auto"/>
        <w:ind w:left="-20" w:right="-20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64CD26F4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  <w:t>Acerca de Mail Boxes ETC</w:t>
      </w:r>
    </w:p>
    <w:p w:rsidR="00932763" w:rsidP="2AF55D3E" w:rsidRDefault="00932763" w14:paraId="5C1A07E2" w14:textId="46EE4A3C">
      <w:pPr>
        <w:spacing w:after="0" w:line="259" w:lineRule="auto"/>
        <w:ind w:left="-20" w:right="-20"/>
        <w:jc w:val="both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2AF55D3E" w:rsidR="61D7A3DF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Mail Boxes ETC es una compañía que ofrece soluciones empresariales de logística que permiten generar ahorros mediante soluciones hechas a la medida del cliente. Desde el inicio, Mail Boxes ofrece una experiencia de servicio extraordinaria y personalizada, basada en el uso de tecnología. Con presencia en 44 países del mundo y más de 2,600 tiendas a nivel global, así como 61 franquicias distribuidas en 20 ciudades de México, Mail Boxes ofrece soluciones integradas a una gama de servicios especializados en envíos, empaque e impresiones que derivan en ahorros para los clientes, entendiendo las necesidades y haciendo posible lo imposible.</w:t>
      </w:r>
    </w:p>
    <w:sectPr w:rsidR="00932763">
      <w:headerReference w:type="default" r:id="rId15"/>
      <w:footerReference w:type="default" r:id="rId16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2209" w:rsidRDefault="00942209" w14:paraId="3E00C000" w14:textId="77777777">
      <w:pPr>
        <w:spacing w:after="0" w:line="240" w:lineRule="auto"/>
      </w:pPr>
      <w:r>
        <w:separator/>
      </w:r>
    </w:p>
  </w:endnote>
  <w:endnote w:type="continuationSeparator" w:id="0">
    <w:p w:rsidR="00942209" w:rsidRDefault="00942209" w14:paraId="51F1CF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4CD26F4" w:rsidTr="64CD26F4" w14:paraId="23B8EF76" w14:textId="77777777">
      <w:trPr>
        <w:trHeight w:val="300"/>
      </w:trPr>
      <w:tc>
        <w:tcPr>
          <w:tcW w:w="3005" w:type="dxa"/>
        </w:tcPr>
        <w:p w:rsidR="64CD26F4" w:rsidP="64CD26F4" w:rsidRDefault="64CD26F4" w14:paraId="19CF0CD6" w14:textId="73873F93">
          <w:pPr>
            <w:pStyle w:val="Encabezado"/>
            <w:ind w:left="-115"/>
          </w:pPr>
        </w:p>
      </w:tc>
      <w:tc>
        <w:tcPr>
          <w:tcW w:w="3005" w:type="dxa"/>
        </w:tcPr>
        <w:p w:rsidR="64CD26F4" w:rsidP="64CD26F4" w:rsidRDefault="64CD26F4" w14:paraId="349C643D" w14:textId="7094283A">
          <w:pPr>
            <w:pStyle w:val="Encabezado"/>
            <w:jc w:val="center"/>
          </w:pPr>
        </w:p>
      </w:tc>
      <w:tc>
        <w:tcPr>
          <w:tcW w:w="3005" w:type="dxa"/>
        </w:tcPr>
        <w:p w:rsidR="64CD26F4" w:rsidP="64CD26F4" w:rsidRDefault="64CD26F4" w14:paraId="58834574" w14:textId="794A5F60">
          <w:pPr>
            <w:pStyle w:val="Encabezado"/>
            <w:ind w:right="-115"/>
            <w:jc w:val="right"/>
          </w:pPr>
        </w:p>
      </w:tc>
    </w:tr>
  </w:tbl>
  <w:p w:rsidR="64CD26F4" w:rsidP="64CD26F4" w:rsidRDefault="64CD26F4" w14:paraId="33E88BCA" w14:textId="575A42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2209" w:rsidRDefault="00942209" w14:paraId="77B478AE" w14:textId="77777777">
      <w:pPr>
        <w:spacing w:after="0" w:line="240" w:lineRule="auto"/>
      </w:pPr>
      <w:r>
        <w:separator/>
      </w:r>
    </w:p>
  </w:footnote>
  <w:footnote w:type="continuationSeparator" w:id="0">
    <w:p w:rsidR="00942209" w:rsidRDefault="00942209" w14:paraId="076208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4CD26F4" w:rsidTr="64CD26F4" w14:paraId="3DD01A0A" w14:textId="77777777">
      <w:trPr>
        <w:trHeight w:val="300"/>
      </w:trPr>
      <w:tc>
        <w:tcPr>
          <w:tcW w:w="3005" w:type="dxa"/>
        </w:tcPr>
        <w:p w:rsidR="64CD26F4" w:rsidP="64CD26F4" w:rsidRDefault="64CD26F4" w14:paraId="50FA38F3" w14:textId="792ACBFD">
          <w:pPr>
            <w:pStyle w:val="Encabezado"/>
            <w:ind w:left="-115"/>
          </w:pPr>
          <w:r>
            <w:rPr>
              <w:noProof/>
            </w:rPr>
            <w:drawing>
              <wp:inline distT="0" distB="0" distL="0" distR="0" wp14:anchorId="4A128A29" wp14:editId="2778289B">
                <wp:extent cx="1428750" cy="742950"/>
                <wp:effectExtent l="0" t="0" r="0" b="0"/>
                <wp:docPr id="1164316111" name="Imagen 1164316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64CD26F4" w:rsidP="64CD26F4" w:rsidRDefault="64CD26F4" w14:paraId="7A6639D3" w14:textId="4C4C347D">
          <w:pPr>
            <w:pStyle w:val="Encabezado"/>
            <w:jc w:val="center"/>
          </w:pPr>
        </w:p>
      </w:tc>
      <w:tc>
        <w:tcPr>
          <w:tcW w:w="3005" w:type="dxa"/>
        </w:tcPr>
        <w:p w:rsidR="64CD26F4" w:rsidP="64CD26F4" w:rsidRDefault="64CD26F4" w14:paraId="482F18E4" w14:textId="519A155C">
          <w:pPr>
            <w:pStyle w:val="Encabezado"/>
            <w:ind w:right="-115"/>
            <w:jc w:val="right"/>
          </w:pPr>
        </w:p>
      </w:tc>
    </w:tr>
  </w:tbl>
  <w:p w:rsidR="64CD26F4" w:rsidP="64CD26F4" w:rsidRDefault="64CD26F4" w14:paraId="2C92AA35" w14:textId="49A05E05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Bm5jlcA" int2:invalidationBookmarkName="" int2:hashCode="xF31LjbS4sKirD" int2:id="vhmvA6F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A5FE"/>
    <w:multiLevelType w:val="hybridMultilevel"/>
    <w:tmpl w:val="39222068"/>
    <w:lvl w:ilvl="0" w:tplc="AB8E07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84DD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1C1F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BCBC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62D3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24AB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9A80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AA15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786D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222D72"/>
    <w:multiLevelType w:val="hybridMultilevel"/>
    <w:tmpl w:val="8214BA4C"/>
    <w:lvl w:ilvl="0" w:tplc="9BEAE80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4976AF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7CC5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96FE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BA65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D656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1694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B823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0027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FB7805"/>
    <w:rsid w:val="003F55CB"/>
    <w:rsid w:val="00932763"/>
    <w:rsid w:val="00942209"/>
    <w:rsid w:val="00DA6307"/>
    <w:rsid w:val="00E82091"/>
    <w:rsid w:val="0289C892"/>
    <w:rsid w:val="0BFB7805"/>
    <w:rsid w:val="0C425545"/>
    <w:rsid w:val="0F531469"/>
    <w:rsid w:val="0FFC5C3F"/>
    <w:rsid w:val="12D08F73"/>
    <w:rsid w:val="1389B341"/>
    <w:rsid w:val="1563F550"/>
    <w:rsid w:val="1921A865"/>
    <w:rsid w:val="1A15AE46"/>
    <w:rsid w:val="1E25FD6A"/>
    <w:rsid w:val="20ACCA77"/>
    <w:rsid w:val="26005F37"/>
    <w:rsid w:val="2AF55D3E"/>
    <w:rsid w:val="2C951A88"/>
    <w:rsid w:val="35D94EF8"/>
    <w:rsid w:val="3BFC3947"/>
    <w:rsid w:val="3EC641CC"/>
    <w:rsid w:val="3F67E974"/>
    <w:rsid w:val="42ACFB67"/>
    <w:rsid w:val="435E0A4A"/>
    <w:rsid w:val="44618D97"/>
    <w:rsid w:val="47C02890"/>
    <w:rsid w:val="541ABD70"/>
    <w:rsid w:val="57C0B4AA"/>
    <w:rsid w:val="5E1ADC6B"/>
    <w:rsid w:val="5E561B60"/>
    <w:rsid w:val="61D7A3DF"/>
    <w:rsid w:val="62A5E06A"/>
    <w:rsid w:val="64C0C724"/>
    <w:rsid w:val="64CD26F4"/>
    <w:rsid w:val="6D951D6B"/>
    <w:rsid w:val="6E85C090"/>
    <w:rsid w:val="6FC390FC"/>
    <w:rsid w:val="7339507D"/>
    <w:rsid w:val="7736609B"/>
    <w:rsid w:val="7AF31A43"/>
    <w:rsid w:val="7E44A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7805"/>
  <w15:chartTrackingRefBased/>
  <w15:docId w15:val="{6E60A421-54B3-435A-91A6-14458538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F55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55C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3F55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55C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3F55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4e974fc36a60478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gob.mx/sat/prensa/sat-emite-la-resolucion-miscelanea-fiscal-y-reglas-generales-de-comercio-exterior-para-2025-075-2024?idiom=es" TargetMode="External" Id="Rd1f475222bba4cb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85bc43-c68f-4294-9fef-e20b111556e3">
      <Terms xmlns="http://schemas.microsoft.com/office/infopath/2007/PartnerControls"/>
    </lcf76f155ced4ddcb4097134ff3c332f>
    <TaxCatchAll xmlns="1d45afff-9c33-46bd-9a9c-610143949b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68BC44A2A24EA32F000BDA98E294" ma:contentTypeVersion="12" ma:contentTypeDescription="Create a new document." ma:contentTypeScope="" ma:versionID="fd1ee451abd4ad302a06d62fc2b763d9">
  <xsd:schema xmlns:xsd="http://www.w3.org/2001/XMLSchema" xmlns:xs="http://www.w3.org/2001/XMLSchema" xmlns:p="http://schemas.microsoft.com/office/2006/metadata/properties" xmlns:ns2="4c85bc43-c68f-4294-9fef-e20b111556e3" xmlns:ns3="1d45afff-9c33-46bd-9a9c-610143949b64" targetNamespace="http://schemas.microsoft.com/office/2006/metadata/properties" ma:root="true" ma:fieldsID="161b3bc6ba79957f0e157d2c158993d7" ns2:_="" ns3:_="">
    <xsd:import namespace="4c85bc43-c68f-4294-9fef-e20b111556e3"/>
    <xsd:import namespace="1d45afff-9c33-46bd-9a9c-610143949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bc43-c68f-4294-9fef-e20b11155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5afff-9c33-46bd-9a9c-610143949b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a1971-c7db-4e2e-bfae-55dc9aab1624}" ma:internalName="TaxCatchAll" ma:showField="CatchAllData" ma:web="1d45afff-9c33-46bd-9a9c-610143949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F959B-3EFB-4EAE-BB18-8AFFA345CCB6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2.xml><?xml version="1.0" encoding="utf-8"?>
<ds:datastoreItem xmlns:ds="http://schemas.openxmlformats.org/officeDocument/2006/customXml" ds:itemID="{9E9ABDEA-BC09-431D-A00B-4185A37DD018}"/>
</file>

<file path=customXml/itemProps3.xml><?xml version="1.0" encoding="utf-8"?>
<ds:datastoreItem xmlns:ds="http://schemas.openxmlformats.org/officeDocument/2006/customXml" ds:itemID="{4E9EFE28-C3C4-49E6-BB8F-70B0074CAD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Rodrigo Franco Martínez</lastModifiedBy>
  <revision>11</revision>
  <dcterms:created xsi:type="dcterms:W3CDTF">2025-01-08T22:53:00.0000000Z</dcterms:created>
  <dcterms:modified xsi:type="dcterms:W3CDTF">2025-01-13T18:22:01.1201991Z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0x0101005C6268BC44A2A24EA32F000BDA98E294</vt:lpwstr>
  </property>
  <property fmtid="{D5CDD505-2E9C-101B-9397-08002B2CF9AE}" pid="3" name="MediaServiceImageTags">
    <vt:lpwstr/>
  </property>
</Properties>
</file>